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734. “二次元餐厅，主题沉浸店”——二次元主题餐厅消费动机与体验评价研究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研究对象：光顾二次元主题餐厅/咖啡厅的爱好者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核心问题/变量：主题餐厅消费动机（沉浸/追星/社交）、菜品定价与体验、互动服务（女仆/执事）接受、联名活动、复购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H1：主题餐厅消费动机（沉浸/追星/社交）、菜品定价与体验显著影响复购（待验证）；H2：不同人群（年龄/收入/城市等级）在上述关系中存在调节作用（待验证）。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🔶二次元主题餐饮报道（媒体须下载核验）；✅餐饮经营规范（市场监管总局）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主题餐厅实地问卷+经营者访谈；获奖黑名单核对：近三年无二次元餐厅获奖题（区别于194IP联名餐厅）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🔶二次元主题餐饮报道（媒体须下载核验）；✅餐饮经营规范（市场监管总局）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