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765. “同人创作，用爱发电”——同人创作参与动机与周边变现意愿研究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研究对象：参与同人创作（写文/画画/制周边）的爱好者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核心问题/变量：同人创作动机（热爱/表达/圈层）、创作投入（时间/工具）、同人周边制作（谷子/吧唧）成本、平台打赏/约稿变现、版权边界认知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同人创作动机（热爱/表达/圈层）、创作投入（时间/工具）（版权边界认知）之间存在可检验的关系，且受群体差异（年龄/收入/地区/身份）调节（待验证）；H2：同人创作动机（热爱/表达/圈层）、创作投入（时间/工具）是影响版权边界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🔶同人创作生态报道（媒体须下载核验）；✅著作权法同人边界（最高法解释）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同人社群问卷+约稿平台访谈；获奖黑名单核对：近三年无同人创作获奖题（区别于603改娃）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🔶同人创作生态报道（媒体须下载核验）；✅著作权法同人边界（最高法解释）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