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791. “虚拟主播打赏，赛博追星”——虚拟主播打赏动机与理性消费认知研究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研究对象：打赏虚拟主播（VUP/VTuber）的粉丝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核心问题/变量：打赏动机（支持/陪伴/上舰）、月打赏金额、虚拟人设信任、与真人主播对比、陪伴感与孤独、理性消费认知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H1：打赏动机（支持/陪伴/上舰）、月打赏金额显著影响理性消费认知（待验证）；H2：不同人群（年龄/收入/城市等级）在上述关系中存在调节作用（待验证）。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🔶虚拟主播市场数据（行业报告须下载核验）；✅直播打赏规范（网信办）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虚拟主播粉丝社群问卷+MCN访谈；获奖黑名单核对：近三年无虚拟主播打赏获奖题（区别于186虚拟偶像）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🔶虚拟主播市场数据（行业报告须下载核验）；✅直播打赏规范（网信办）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