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832. “痛包文化，二次元行走名片”——痛包爱好者制作动机与谷子消费行为研究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确定行业：16_二次元与青年潮流（选择理由：贴合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研究对象：制作/背痛包的二次元爱好者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核心问题/变量：痛包制作动机（圈层标识/展示爱）、包与谷子挂件消费、手作成本、漫展展示、社交圈层认可、更新频率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H1：痛包制作动机（圈层标识/展示爱）、包与谷子挂件消费显著影响更新频率（待验证）；H2：不同人群（年龄/收入/城市等级）在上述关系中存在调节作用（待验证）。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🔶痛包文化报道（动漫媒体须下载核验）；✅二次元周边消费规范（市场监管）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二次元社群问卷+谷子店访谈；获奖黑名单核对：近三年无痛包获奖题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🔶痛包文化报道（动漫媒体须下载核验）；✅二次元周边消费规范（市场监管）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