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858. “二次元谷店开店潮，人傻钱多”——二次元谷子消费偏好与线下开店意愿调查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研究对象：开谷子店/逛线下谷店的经营者与消费者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核心问题/变量：谷子店开店潮（商场负一层）、进货与选品（IP热度）、定价与客流、消费者逛店动机、经营盈利状况、闭店潮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H1：谷子店开店潮（商场负一层）、进货与选品（IP热度）显著影响闭店潮（待验证）；H2：不同人群（年龄/收入/城市等级）在上述关系中存在调节作用（待验证）。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🔶谷子店开店与闭店潮报道（行业媒体须下载核验）；✅二次元消费与商业体政策（商务部）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谷子店实地问卷+店主访谈；获奖黑名单核对：近三年无谷子店经营获奖题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🔶谷子店开店与闭店潮报道（行业媒体须下载核验）；✅二次元消费与商业体政策（商务部）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