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874. “二次元联名餐饮，主题餐厅排队”——IP联名主题餐饮消费动机与复购意愿研究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研究对象：光顾IP联名餐饮（游戏/动漫主题店）的粉丝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核心问题/变量：联名餐厅消费动机（IP粉/打卡）、限定菜单与周边（杯套/立牌）、排队与黄牛（黄牛周边）、复购率、IP联动频次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H1：联名餐厅消费动机（IP粉/打卡）、限定菜单与周边（杯套/立牌）显著影响IP联动频次（待验证）；H2：不同人群（年龄/收入/城市等级）在上述关系中存在调节作用（待验证）。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🔶IP联名餐饮热潮报道（餐饮媒体须下载核验）；✅著作权与商标授权规范（最高法）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联名餐厅实地问卷+品牌方访谈；获奖黑名单核对：近三年无IP联名餐饮获奖题（区别于194餐饮联名泛题）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🔶IP联名餐饮热潮报道（餐饮媒体须下载核验）；✅著作权与商标授权规范（最高法）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