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890. “二次元游戏停服，青春落幕”——游戏停服补偿方案接受度与玩家账号数据权益认知调查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研究对象：经历所玩游戏停服/调整（关服补偿）的玩家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核心问题/变量：停服原因（版号/盈利）、账号数据（虚拟财产）处理感知、补偿方案（转服/礼包）接受、充值退款争议、情感损失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停服原因（版号/盈利）、账号数据（虚拟财产）处理感知（情感损失）之间存在可检验的关系，且受群体差异（年龄/收入/地区/身份）调节（待验证）；H2：停服原因（版号/盈利）、账号数据（虚拟财产）处理感知是影响情感损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🔶游戏停服与版号政策（国家新闻出版署）；🔶停服补偿争议案例（须下载核验）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玩家社群问卷+游戏公司客服访谈；获奖黑名单核对：近三年无游戏停服获奖题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🔶游戏停服与版号政策（国家新闻出版署）；🔶停服补偿争议案例（须下载核验）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