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910. “二次元黑板报、班会，校园亚文化”——中学生对校园二次元文化（Cosplay、谷子）的接受度及引导需求调查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研究对象：中学/大学生（参与或旁观校园二次元文化）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核心问题/变量：校园二次元活动（漫展进校/社团）、家长与老师态度、学习与爱好平衡、圈层认同、校园包容度、引导需求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校园二次元活动（漫展进校/社团）、家长与老师态度（引导需求）之间存在可检验的关系，且受群体差异（年龄/收入/地区/身份）调节（待验证）；H2：校园二次元活动（漫展进校/社团）、家长与老师态度是影响引导需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🔶青少年网络文化引导政策（网信办、教育部）；🔶校园亚文化报道（须下载核验）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学生问卷+教师访谈；获奖黑名单核对：近三年无校园二次元获奖题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🔶青少年网络文化引导政策（网信办、教育部）；🔶校园亚文化报道（须下载核验）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