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929. “外设周边，电竞装备党”——电竞外设消费的使用满意度及复购意愿调查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研究对象：购买电竞外设（机械键盘/鼠标/耳机）的玩家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核心问题/变量：外设消费动机（上分/颜值/收藏）、键盘轴体与客制化（客制化键盘）、价格区间（千元级）、评测视频影响、吃灰率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H1：外设消费动机（上分/颜值/收藏）、键盘轴体与客制化（客制化键盘）显著影响吃灰率（待验证）；H2：不同人群（年龄/收入/城市等级）在上述关系中存在调节作用（待验证）。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🔶电竞产业与硬件消费政策（体育总局）；🔶外设市场数据（行业报告须下载核验）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玩家社群问卷+外设商家访谈；获奖黑名单核对：近三年无电竞外设获奖题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🔶电竞产业与硬件消费政策（体育总局）；🔶外设市场数据（行业报告须下载核验）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