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948. “二次元谷子展，线下集会”——二次元主题展会（谷子展、漫展）参与意愿与消费行为调查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研究对象：参加漫展/谷子展（布展消费）的二次元爱好者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核心问题/变量：漫展参与频次与消费（门票/周边/摄影）、谷子展淘货、coser与摄影、展会体验（人流/氛围）、年度预算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漫展参与频次与消费（门票/周边/摄影）、谷子展淘货（年度预算）之间存在可检验的关系，且受群体差异（年龄/收入/地区/身份）调节（待验证）；H2：漫展参与频次与消费（门票/周边/摄影）、谷子展淘货是影响年度预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🔶动漫展会产业政策（文旅部）；🔶漫展市场数据（须下载核验）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漫展现场问卷+主办方访谈；获奖黑名单核对：近三年无漫展消费获奖题（区别于749潮玩展）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🔶动漫展会产业政策（文旅部）；🔶漫展市场数据（须下载核验）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