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956. “二次元电竞女孩，女性玩家”——女性玩家游戏内消费意愿与圈层社交参与调查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研究对象：深度游戏（电竞/乙游/手游）的女性玩家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核心问题/变量：女性玩家游戏类型偏好、游戏内消费（皮肤/月卡/抽卡）、电竞参与（女队/观众）、圈层社交、性别刻板印象打破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H1：女性玩家游戏类型偏好、游戏内消费（皮肤/月卡/抽卡）显著影响性别刻板印象打破（待验证）；H2：不同人群（年龄/收入/城市等级）在上述关系中存在调节作用（待验证）。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🔶游戏用户与防沉迷政策（国家新闻出版署）；🔶女性游戏市场数据（行业报告须下载核验）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女性玩家问卷+游戏公司访谈；获奖黑名单核对：近三年无女性玩家消费获奖题（区别于718乙游周边）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🔶游戏用户与防沉迷政策（国家新闻出版署）；🔶女性游戏市场数据（行业报告须下载核验）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