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980. “手办收藏，毕业卖惨”——手办收藏消费行为与二手变现意愿调查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研究对象：收藏手办/雕像（含退坑出二手）的玩家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核心问题/变量：手办收藏投入（月度/年度）、预定与补款（定金）、二手交易（退坑回血）、柜子空间焦虑、限定溢价、收藏满足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H1：手办收藏投入（月度/年度）、预定与补款（定金）显著影响收藏满足（待验证）；H2：不同人群（年龄/收入/城市等级）在上述关系中存在调节作用（待验证）。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🔶手办/潮玩市场数据（行业报告须下载核验）；✅模型玩具质量规范（市场监管总局）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手办社群问卷+二手平台数据；获奖黑名单核对：近三年无手办收藏获奖题（区别于749潮玩展/623盲盒二手）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🔶手办/潮玩市场数据（行业报告须下载核验）；✅模型玩具质量规范（市场监管总局）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