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1026. “儿童防晒，娇嫩肌肤”——儿童防晒护肤品家长选购需求与成分安全关注调查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确定行业：17_美妆服饰与珠宝（选择理由：贴合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研究对象：为孩子选购防晒/儿童护肤品的家长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核心问题/变量：儿童防晒需求（户外/游泳）、安全性关注（成分/年龄限制）、儿童专用vs成人替代、过敏经历、品牌信任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H1：儿童防晒需求（户外/游泳）、安全性关注（成分/年龄限制）显著影响品牌信任（待验证）；H2：不同人群（年龄/收入/城市等级）在上述关系中存在调节作用（待验证）。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🔶儿童化妆品监管规定（药监局）；🔶儿童护肤市场数据（行业报告须下载核验）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母婴社群问卷+儿童护肤品牌访谈；获奖黑名单核对：近三年无儿童防晒获奖题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🔶儿童化妆品监管规定（药监局）；🔶儿童护肤市场数据（行业报告须下载核验）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