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1249. “早C晚A护肤公式，成分党进阶”——成分党护肤知识认知与购买决策调查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研究对象：按早C晚A/成分论护肤的“成分党”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核心问题/变量：护肤成分知识（维C/维A/烟酰胺）、成分购买决策、翻车经历（烂脸）、皮肤科医生认同、国货成分对抗、消费金额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H1：护肤成分知识（维C/维A/烟酰胺）、成分购买决策显著影响消费金额（待验证）；H2：不同人群（年龄/收入/城市等级）在上述关系中存在调节作用（待验证）。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🔶化妆品功效宣称规范（药监局）；🔶成分护肤市场数据（须下载核验）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护肤社群问卷+成分党KOL访谈；获奖黑名单核对：近三年无早C晚A获奖题（区别于591成分党泛题，聚焦配方搭配实践）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🔶化妆品功效宣称规范（药监局）；🔶成分护肤市场数据（须下载核验）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