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1291. “口红效应，低价悦己美妆”——低价悦己美妆消费行为与支付意愿调查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研究对象：经济压力期进行口红/低价美妆消费的女性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核心问题/变量：口红效应（低价悦己）、经济波动下美妆消费（口红替代大件）、平替国货、美妆消费降级与升级、情绪购买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H1：口红效应（低价悦己）、经济波动下美妆消费（口红替代大件）显著影响情绪购买（待验证）；H2：不同人群（年龄/收入/城市等级）在上述关系中存在调节作用（待验证）。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🔶化妆品消费与国货美妆数据（行业报告须下载核验）；✅化妆品生产经营规范（药监局）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美妆消费者问卷+美妆渠道访谈；获奖黑名单核对：近三年无口红效应获奖题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🔶化妆品消费与国货美妆数据（行业报告须下载核验）；✅化妆品生产经营规范（药监局）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