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1292. “妈妈妆造，中年女性美妆觉醒”——中年女性美妆需求与购买行为调查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研究对象：开始化妆/提升美妆的中年女性（40-60岁）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核心问题/变量：中年女性美妆需求（抗老/气色）、妈妈妆造（子女带动）、美妆教学（适老美妆博主）、产品适老化（遮瑕/提拉）、投入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H1：中年女性美妆需求（抗老/气色）、妈妈妆造（子女带动）显著影响投入（待验证）；H2：不同人群（年龄/收入/城市等级）在上述关系中存在调节作用（待验证）。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🔶化妆品适老化与银发美妆数据（行业报告须下载核验）；✅化妆品监管规范（药监局）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中年女性问卷+美妆品牌访谈；获奖黑名单核对：近三年无中年女性美妆获奖题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🔶化妆品适老化与银发美妆数据（行业报告须下载核验）；✅化妆品监管规范（药监局）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