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1293. “黄金手镯传承，妈传女儿”——黄金传家首饰消费行为与保值支付意愿调查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研究对象：购买黄金首饰用于传承（母女/婚嫁）的家庭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核心问题/变量：黄金传承消费（嫁妆/传家）、金饰保值属性、传承仪式感、款式（古法金/国潮）、购买时机（金价高位）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H1：黄金传承消费（嫁妆/传家）、金饰保值属性显著影响购买时机（金价高位）（待验证）；H2：不同人群（年龄/收入/城市等级）在上述关系中存在调节作用（待验证）。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🔶黄金首饰消费数据（中国黄金协会须下载核验）；✅黄金饰品质量规范（市场监管总局）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金店渠道+消费者问卷；获奖黑名单核对：近三年无黄金传承获奖题（区别于1160黄金消费泛题、407/866黄金投资回收，聚焦传承场景）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🔶黄金首饰消费数据（中国黄金协会须下载核验）；✅黄金饰品质量规范（市场监管总局）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