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1300. “香氛经济，情绪香薰”——香氛（香薰、香水）情绪消费研究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研究对象：购买香氛产品（香薰/香水/无火香薰）的消费者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核心问题/变量：香氛消费动机（情绪疗愈/氛围感）、无火香薰流行、价格带与复购、香调偏好（木质/花香）、节日礼赠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H1：香氛消费动机（情绪疗愈/氛围感）、无火香薰流行显著影响节日礼赠（待验证）；H2：不同人群（年龄/收入/城市等级）在上述关系中存在调节作用（待验证）。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🔶香氛产品安全规范（市场监管总局）；🔶香氛市场规模（须下载核验）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香氛品牌/门店问卷+消费者访谈；获奖黑名单核对：近三年无香氛消费获奖题（区别于549香薰体验泛题，聚焦香氛品类）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🔶香氛产品安全规范（市场监管总局）；🔶香氛市场规模（须下载核验）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