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204. “一个人的精致”——独居青年小份化消费偏好与独居悦己支出研究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研究对象：独居/单身居住的 20—40 岁人群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核心问题/变量：小份包装/迷你家电购买、一人食（复用177）、独居悦己支出、孤独感与消费补偿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H1：小份包装/迷你家电购买、一人食（复用177）显著影响孤独感与消费补偿（待验证）；H2：不同人群（年龄/收入/城市等级）在上述关系中存在调节作用（待验证）。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✅2026年十大消费趋势"情绪价值"排第一（行业🔶）；✅即时零售分钟级配送与深度体验并存（独居典型消费特征）；✅一人食33%消费者专门消费（新潮传媒）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单身公寓/独居社群渠道；与177题（一人食餐饮）区分：聚焦商品化消费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✅2026年十大消费趋势"情绪价值"排第一（行业🔶）；✅即时零售分钟级配送与深度体验并存（独居典型消费特征）；✅一人食33%消费者专门消费（新潮传媒）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