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257. “成分党，读配料表”——功效护肤的成分知识水平与溢价接受度研究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研究对象：关注成分的功效护肤消费者（18—40岁）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核心问题/变量：成分知识（烟酰胺/玻色因/A醇）、决策依据、KOL影响、试错成本、溢价接受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H1：成分知识（烟酰胺/玻色因/A醇）、决策依据显著影响溢价接受（待验证）；H2：不同人群（年龄/收入/城市等级）在上述关系中存在调节作用（待验证）。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✅68%消费者愿为"清洁标签"付溢价（第五六轮证据）；🔶功效护肤市场规模（行业报告需核验）；✅国货功效护肤打破溢价壁垒（美妆趋势）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美妆测评社群渠道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✅68%消费者愿为"清洁标签"付溢价（第五六轮证据）；🔶功效护肤市场规模（行业报告需核验）；✅国货功效护肤打破溢价壁垒（美妆趋势）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