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258. “男士理容，精致进店”——男士理容的服务体验与复购意愿研究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研究对象：去过Barber店/做男士护理的 18—40 岁男性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核心问题/变量：消费频次、价格接受（理发/护理）、服务体验、消费观念转变、复购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H1：消费频次、价格接受（理发/护理）显著影响复购（待验证）；H2：不同人群（年龄/收入/城市等级）在上述关系中存在调节作用（待验证）。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🔶男士理容市场增长（行业报告需核验）；✅"他经济"/男颜消费媒体讨论（需引原文）；✅美业数字化趋势（🔶）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Barber店/男士理容馆现场问卷；与205题（男颜经济）区分：聚焦实体理容服务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🔶男士理容市场增长（行业报告需核验）；✅"他经济"/男颜消费媒体讨论（需引原文）；✅美业数字化趋势（🔶）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