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259. “小众香氛，情绪气味”——香氛经济（香水、香薰、蜡烛）消费行为与情绪消费动机研究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研究对象：购买过香水/家居香薰/香氛蜡烛的消费者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核心问题/变量：消费场景（悦己/送礼/助眠）、价格带、品牌偏好（国产小众vs国际）、情绪关联、复购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H1：消费场景（悦己/送礼/助眠）、价格带显著影响复购（待验证）；H2：不同人群（年龄/收入/城市等级）在上述关系中存在调节作用（待验证）。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✅2026年中国香水香氛市场约53亿美元（约383.92亿元）、2028年有望440亿元、CAGR 14%（远超全球3.5%）；✅形态扩展至家居香薰/蜡烛/车载全品类；✅2026上半年香水出口25.02亿元（+31.05%）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香氛门店/小红书香氛用户渠道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✅2026年中国香水香氛市场约53亿美元（约383.92亿元）、2028年有望440亿元、CAGR 14%（远超全球3.5%）；✅形态扩展至家居香薰/蜡烛/车载全品类；✅2026上半年香水出口25.02亿元（+31.05%）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