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273. “轻医美，悄悄变美”——轻医美（光电、注射）消费动机与安全信任研究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研究对象：做过或考虑轻医美的 18—40 岁消费者（以女性为主）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核心问题/变量：消费动机（护肤/抗衰/拍照）、项目偏好、价格接受、机构选择、安全性顾虑、复购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H1：消费动机（护肤/抗衰/拍照）、项目偏好显著影响复购（待验证）；H2：不同人群（年龄/收入/城市等级）在上述关系中存在调节作用（待验证）。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✅2026年中国医美市场预计4500亿—5000亿元、非手术类占比过半、未来五年CAGR 12%—15%；✅非手术类消费人次预计5393万人次（+27.7%）；✅2026上半年医美机构净增仅100家（去年同期500家）、行业洗牌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医美机构/护肤社群渠道；与256题（美妆）区分：聚焦医疗级轻医美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✅2026年中国医美市场预计4500亿—5000亿元、非手术类占比过半、未来五年CAGR 12%—15%；✅非手术类消费人次预计5393万人次（+27.7%）；✅2026上半年医美机构净增仅100家（去年同期500家）、行业洗牌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