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661. “男士护肤，直男也精致”——青年男士护肤消费满意度与品类复购意愿研究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研究对象：有护肤习惯的男性（18-40岁）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核心问题/变量：男颜消费动机（悦己/求职/社交）、品类偏好（洁面/防晒）、渠道（专柜/电商）、品牌性别营销接受度、消费信心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H1：男颜消费动机（悦己/求职/社交）、品类偏好（洁面/防晒）显著影响消费信心（待验证）；H2：不同人群（年龄/收入/城市等级）在上述关系中存在调节作用（待验证）。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🔶男士护肤市场数据（行业报告须下载核验）；✅男士理容产业政策导向（商务部）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男性社群问卷+美妆渠道访谈；获奖黑名单核对：近三年无男士护肤获奖题（区别于205男颜悦己）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🔶男士护肤市场数据（行业报告须下载核验）；✅男士理容产业政策导向（商务部）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