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692. “穿戴甲，美甲平替”——穿戴甲平替选择因素与购买意愿调查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研究对象：使用穿戴甲（成品/定制）的年轻女性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核心问题/变量：穿戴甲vs美甲店选择（价格/便携/变换）、定制与成品购买、使用时长与寿命、品牌与店铺、社交展示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H1：穿戴甲vs美甲店选择（价格/便携/变换）、定制与成品购买显著影响社交展示（待验证）；H2：不同人群（年龄/收入/城市等级）在上述关系中存在调节作用（待验证）。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🔶穿戴甲市场报道（美妆媒体须下载核验）；✅美容美发行业规范（商务部）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穿戴甲社群问卷+电商数据；获奖黑名单核对：近三年无穿戴甲获奖题（区别于200上门美甲）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🔶穿戴甲市场报道（美妆媒体须下载核验）；✅美容美发行业规范（商务部）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