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714. “定制珠宝，情感首饰”——定制首饰（婚戒、生日、纪念）消费行为与情感价值感知研究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研究对象：定制婚戒/纪念首饰（刻字/裸石定制）的消费者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核心问题/变量：定制动机（专属/仪式感）、定制流程体验、价格与预算、与品牌成品对比、设计沟通、情感价值留存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H1：定制动机（专属/仪式感）、定制流程体验显著影响情感价值留存（待验证）；H2：不同人群（年龄/收入/城市等级）在上述关系中存在调节作用（待验证）。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🔶定制珠宝市场报道（珠宝行业媒体须下载核验）；✅贵金属珠宝消费规范（市场监管总局）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珠宝定制工作室渠道问卷+设计师访谈；获奖黑名单核对：近三年无定制珠宝获奖题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🔶定制珠宝市场报道（珠宝行业媒体须下载核验）；✅贵金属珠宝消费规范（市场监管总局）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