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729. “旗袍定制，东方美学回归”——旗袍定制消费动机与品牌文化认同研究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研究对象：定制旗袍/新中式服饰的消费者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核心问题/变量：旗袍定制动机（婚礼/仪式/日常化）、定制流程（量体/面料/工期）、价格与工坊选择、新中式穿搭日常化、文化认同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H1：旗袍定制动机（婚礼/仪式/日常化）、定制流程（量体/面料/工期）显著影响文化认同（待验证）；H2：不同人群（年龄/收入/城市等级）在上述关系中存在调节作用（待验证）。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🔶新中式服饰市场数据（行业报告须下载核验）；✅国潮与文化消费政策（商务部）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旗袍工坊渠道问卷+设计师访谈；获奖黑名单核对：近三年无旗袍定制获奖题（区别于112汉服旅拍）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🔶新中式服饰市场数据（行业报告须下载核验）；✅国潮与文化消费政策（商务部）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