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817. “素人改造，美妆蜕变”——美妆素人改造视频观看动机与同款消费行为研究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研究对象：观看美妆博主素人改造（变装）视频并效仿的观众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核心问题/变量：素人改造内容观看动机（借鉴/爽感）、同款化妆品的“带货”购买、改造前后对比吸引力、审美标准影响、理性消费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H1：素人改造内容观看动机（借鉴/爽感）、同款化妆品的“带货”购买显著影响理性消费（待验证）；H2：不同人群（年龄/收入/城市等级）在上述关系中存在调节作用（待验证）。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🔶美妆内容生态数据（平台报告须下载核验）；✅化妆品功效宣传规范（药监局）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美妆内容用户问卷+博主/机构访谈；获奖黑名单核对：近三年无素人改造获奖题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🔶美妆内容生态数据（平台报告须下载核验）；✅化妆品功效宣传规范（药监局）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