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838. “假发经济，脱发焦虑”——脱发人群假发购买意愿及消费选择因素调查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研究对象：购买假发/织发（含医用假发）的消费者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核心问题/变量：脱发焦虑与假发购买动机、真发vs化纤选择（价格千元-万元）、修剪维护成本、心理自信恢复、线上定制vs门店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H1：脱发焦虑与假发购买动机、真发vs化纤选择（价格千元-万元）显著影响线上定制vs门店（待验证）；H2：不同人群（年龄/收入/城市等级）在上述关系中存在调节作用（待验证）。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🔶假发出口与内需市场数据（行业协会须下载核验）；✅化妆品与美发制品监管（药监局）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假发门店渠道+消费者问卷；获奖黑名单核对：近三年无假发消费获奖题（区别于80智能睡眠等美发？无冲突）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🔶假发出口与内需市场数据（行业协会须下载核验）；✅化妆品与美发制品监管（药监局）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