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854. “口红一哥塌房后，美妆直播变局”——头部主播更替与美妆直播消费信任研究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研究对象：购买美妆直播产品（经历主播更替）的消费者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核心问题/变量：头部主播塌房/停播影响、低价心智迁移（去头部化）、国货美妆接棒、店铺自播vs达人直播、信任变化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H1：头部主播塌房/停播影响、低价心智迁移（去头部化）显著影响信任变化（待验证）；H2：不同人群（年龄/收入/城市等级）在上述关系中存在调节作用（待验证）。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🔶头部主播事件与行业影响报道（财经媒体须下载核验）；✅直播电商监管（市场监管总局）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美妆消费者问卷+电商平台数据；获奖黑名单核对：近三年无美妆直播格局获奖题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🔶头部主播事件与行业影响报道（财经媒体须下载核验）；✅直播电商监管（市场监管总局）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