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878. “轻医美抗衰，光电项目”——轻医美光电项目消费动机与效果满意度及复购意愿调查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研究对象：做过轻医美光电项目（热玛吉/光子/水光）的消费者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核心问题/变量：抗衰焦虑（初老）、光电项目消费（单次千元-万）、机构资质与医师、效果预期与落差、营销话术（医托）、复购与维权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H1：抗衰焦虑（初老）、光电项目消费（单次千元-万）显著影响复购与维权（待验证）；H2：不同人群（年龄/收入/城市等级）在上述关系中存在调节作用（待验证）。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🔶轻医美市场监管（卫健委、市场监管总局）；🔶医美市场规模数据（行业报告须下载核验）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医美机构渠道+消费者问卷；获奖黑名单核对：近三年无轻医美光电获奖题（区别于611医美分期、271医美泛题）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🔶轻医美市场监管（卫健委、市场监管总局）；🔶医美市场规模数据（行业报告须下载核验）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