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966. “轻奢珠宝平替，人造宝石”——培育钻石（人造宝石）饰品认知与接受度调查及购买意愿研究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研究对象：购买培育钻石/人造宝石饰品（求婚/日常）的消费者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核心问题/变量：培育钻石认知（真钻vs实验室）、价格优势（1/10）、消费场景（婚戒/悦己）、保值观念冲突、品牌推广、接受度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H1：培育钻石认知（真钻vs实验室）、价格优势（1/10）显著影响接受度（待验证）；H2：不同人群（年龄/收入/城市等级）在上述关系中存在调节作用（待验证）。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🔶培育钻石质量与标识规范（市场监管总局、国检）；🔶培育钻石市场数据（行业报告须下载核验）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珠宝渠道问卷+品牌访谈；获奖黑名单核对：近三年无培育钻石获奖题（区别于714定制珠宝）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🔶培育钻石质量与标识规范（市场监管总局、国检）；🔶培育钻石市场数据（行业报告须下载核验）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