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1098. “婴儿语言启蒙，小小演说家”——婴幼儿语言启蒙消费行为与家长认知调查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研究对象：为0-3岁孩子做语言启蒙的父母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核心问题/变量：语言启蒙方式（绘本/早教机/亲子对话）、语言迟缓焦虑（说话晚）、早教机/点读笔消费、亲子共读时长、机构测评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H1：语言启蒙方式（绘本/早教机/亲子对话）、语言迟缓焦虑（说话晚）显著影响机构测评（待验证）；H2：不同人群（年龄/收入/城市等级）在上述关系中存在调节作用（待验证）。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🔶婴幼儿照护与早期发展政策（卫健委）；🔶早教产品市场数据（须下载核验）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母婴社群问卷+早教产品企业访谈；获奖黑名单核对：近三年无婴幼儿语言启蒙获奖题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🔶婴幼儿照护与早期发展政策（卫健委）；🔶早教产品市场数据（须下载核验）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