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1362. “育儿假落地，爸爸带娃假”——父母育儿假落实现状与爸爸带娃使用意愿调查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研究对象：适用育儿假（3岁以下每年各10天）的父母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核心问题/变量：育儿假落实率（国企/民企）、请假阻力（工作安排）、育儿假用途（亲子陪伴）、与年假冲突、男性使用偏见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育儿假落实率（国企/民企）、请假阻力（工作安排）（男性使用偏见）之间存在可检验的关系，且受群体差异（年龄/收入/地区/身份）调节（待验证）；H2：育儿假落实率（国企/民企）、请假阻力（工作安排）是影响男性使用偏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🔶育儿假政策（国务院、各省人口条例）；🔶育儿假落实数据（须下载核验）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新手父母问卷+HR访谈；获奖黑名单核对：近三年无育儿假获奖题（区别于1022陪产假，聚焦3岁以下育儿假）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🔶育儿假政策（国务院、各省人口条例）；🔶育儿假落实数据（须下载核验）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