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1363. “儿童孤独症筛查，早发现早干预”——孤独症家庭早期筛查需求与康复服务选择因素调查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研究对象：孤独症儿童家庭（筛查/康复训练）及从业者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核心问题/变量：孤独症早筛（0-6岁筛查政策）、康复机构选择与费用（每月数千-万元）、干预效果（语言/社交）、家长心理负担、社会支持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孤独症早筛（0-6岁筛查政策）、康复机构选择与费用（每月数千-万元）（社会支持）之间存在可检验的关系，且受群体差异（年龄/收入/地区/身份）调节（待验证）；H2：孤独症早筛（0-6岁筛查政策）、康复机构选择与费用（每月数千-万元）是影响社会支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🔶孤独症儿童关爱促进行动（中国残联、卫健委）；🔶孤独症服务数据（须下载核验）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康复机构渠道+家长问卷；获奖黑名单核对：近三年无孤独症康复获奖题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🔶孤独症儿童关爱促进行动（中国残联、卫健委）；🔶孤独症服务数据（须下载核验）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