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1364. “萌娃短视频，晒娃还是伤娃”——家长晒娃账号运营行为与儿童隐私顾虑调查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研究对象：为孩子开设短视频账号（晒娃）的家长与关注者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核心问题/变量：晒娃账号运营（记录/流量）、儿童隐私风险（人脸/学校信息）、网红儿童变现（广告）、网暴风险、未成年人保护意识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晒娃账号运营（记录/流量）、儿童隐私风险（人脸/学校信息）（未成年人保护意识）之间存在可检验的关系，且受群体差异（年龄/收入/地区/身份）调节（待验证）；H2：晒娃账号运营（记录/流量）、儿童隐私风险（人脸/学校信息）是影响未成年人保护意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🔶未成年人网络保护条例（网信办）；🔶晒娃账号治理数据（须下载核验）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晒娃家长问卷+平台访谈；获奖黑名单核对：近三年无晒娃短视频获奖题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🔶未成年人网络保护条例（网信办）；🔶晒娃账号治理数据（须下载核验）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