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1365. “分房睡，育儿观念交锋”——家长儿童分房睡实施意愿与育儿观念冲突调查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研究对象：经历儿童分房睡（睡眠训练）的家长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核心问题/变量：分房时机（3-6岁）、独立睡眠训练（哭闹/安抚）、育儿观念冲突（长辈意见）、分房焦虑、二孩分配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H1：分房时机（3-6岁）、独立睡眠训练（哭闹/安抚）显著影响二孩分配（待验证）；H2：不同人群（年龄/收入/城市等级）在上述关系中存在调节作用（待验证）。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🔶科学育儿指导政策（卫健委）；🔶儿童睡眠研究（学术报告须下载核验）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家长社群问卷+育儿顾问访谈；获奖黑名单核对：近三年无分房睡获奖题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🔶科学育儿指导政策（卫健委）；🔶儿童睡眠研究（学术报告须下载核验）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