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222. “月子中心，值不值”——月子中心消费意愿与选择因素研究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建议地区：西安（可按省/市细化抽样框）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研究对象：孕期/产后家庭（2025—2026年生育）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核心问题/变量：选择因素（专业护理/环境/价格）、预算区间、信息渠道、满意度、避坑意识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H1：选择因素（专业护理/环境/价格）、预算区间显著影响避坑意识（待验证）；H2：不同人群（年龄/收入/城市等级）在上述关系中存在调节作用（待验证）。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✅月子中心2026年预计突破1000亿元（2019年约300亿）；✅西安商业化月子中心选择率2021年8.3%→2024年27.6%、3万元以上中高端年增速38.2%；✅行业痛点：37.2%强制推销/隐形加价、41.8%护理处置能力不足（调查🔶）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母婴医院/月子中心/孕妈社群渠道；与83题（托育）区分：聚焦产后护理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✅月子中心2026年预计突破1000亿元（2019年约300亿）；✅西安商业化月子中心选择率2021年8.3%→2024年27.6%、3万元以上中高端年增速38.2%；✅行业痛点：37.2%强制推销/隐形加价、41.8%护理处置能力不足（调查🔶）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