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223. “产后修复，妈妈新消费”——产后修复（盆底、腹直肌、康复）服务需求与消费意愿研究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研究对象：产后女性（6个月—2年）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核心问题/变量：产后困扰、修复服务知晓、机构选择（医院vs美容院）、价格接受、效果评价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H1：产后困扰、修复服务知晓（效果评价）之间存在可检验的关系，且受群体差异（年龄/收入/地区/身份）调节（待验证）；H2：产后困扰、修复服务知晓是影响效果评价的关键因素（待验证）。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🔶产后修复市场规模（行业报告需核验）；✅母婴行业8.58万亿元大盘（2026年预计）；✅国家卫健委产后康复服务规范（政策背景🔶）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产科门诊/产后修复机构/孕妈社群渠道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🔶产后修复市场规模（行业报告需核验）；✅母婴行业8.58万亿元大盘（2026年预计）；✅国家卫健委产后康复服务规范（政策背景🔶）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