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265. “亲子阅读，成长陪伴”——亲子阅读的绘本购买行为与智能工具接受度研究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研究对象：0—8岁孩子家长（有亲子阅读习惯）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核心问题/变量：阅读频次、绘本购买/借阅、绘本馆/图书馆参与、智能阅读工具接受、消费支出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H1：阅读频次、绘本购买/借阅显著影响消费支出（待验证）；H2：不同人群（年龄/收入/城市等级）在上述关系中存在调节作用（待验证）。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🔶亲子阅读市场规模（行业报告需核验）；✅全民阅读推广政策背景；✅母婴8.58万亿大盘（2026年，第八轮证据）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绘本馆/幼儿园渠道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🔶亲子阅读市场规模（行业报告需核验）；✅全民阅读推广政策背景；✅母婴8.58万亿大盘（2026年，第八轮证据）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