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280. “宝贝周岁宴，仪式感消费”——宝宝宴的办宴动机与流程定制需求调查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研究对象：办过或准备办宝宝宴/百日宴/周岁宴的家庭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核心问题/变量：办宴动机（仪式感/人情/记录）、策划与场地消费、预算、流程定制、满意度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H1：办宴动机（仪式感/人情/记录）、策划与场地消费显著影响满意度（待验证）；H2：不同人群（年龄/收入/城市等级）在上述关系中存在调节作用（待验证）。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🔶宝宝宴定制服务兴起（媒体）；✅母婴行业8.58万亿元大盘（2026年）；✅"仪式感消费"趋势（情绪经济背景）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宴会策划机构/母婴社群渠道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🔶宝宝宴定制服务兴起（媒体）；✅母婴行业8.58万亿元大盘（2026年）；✅"仪式感消费"趋势（情绪经济背景）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