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369. “想生不想生，生育友好路”——青年生育意愿与生育支持政策知晓研究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研究对象：18—40岁青年（已婚/未婚）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核心问题/变量：生育意愿（想要几个）、顾虑（经济/托育/教育/职业）、育儿补贴等政策知晓、托育信任、生育友好评价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生育意愿（想要几个）、顾虑（经济/托育/教育/职业）（生育友好评价）之间存在可检验的关系，且受群体差异（年龄/收入/地区/身份）调节（待验证）；H2：生育意愿（想要几个）、顾虑（经济/托育/教育/职业）是影响生育友好评价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✅2026政府工作报告提出建设生育友好型社会；✅购房/租房76.5%、育儿/教育61.5%为青年最主要经济压力（北师大报告）；✅托育服务支持政策（"十四五"托育规划背景）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线上问卷+婚育门诊渠道；评委关注人口议题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✅2026政府工作报告提出建设生育友好型社会；✅购房/租房76.5%、育儿/教育61.5%为青年最主要经济压力（北师大报告）；✅托育服务支持政策（"十四五"托育规划背景）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