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417. “一米高度看城市”——儿童友好公共空间建设需求与满意度评价研究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研究对象：带娃家庭（0—12岁儿童家长）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核心问题/变量：儿童公共空间评价（公园/商超/地铁）、安全与便利、儿童参与意识、建设建议、满意度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儿童公共空间评价（公园/商超/地铁）、安全与便利（满意度）之间存在可检验的关系，且受群体差异（年龄/收入/地区/身份）调节（待验证）；H2：儿童公共空间评价（公园/商超/地铁）、安全与便利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✅《城市儿童友好空间建设导则》/儿童友好城市试点（发改委/住建部政策背景）；🔶儿童友好城市试点城市名单（媒体）；✅生育友好型社会（本批366-370衔接）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社区亲子群+儿童活动空间现场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✅《城市儿童友好空间建设导则》/儿童友好城市试点（发改委/住建部政策背景）；🔶儿童友好城市试点城市名单（媒体）；✅生育友好型社会（本批366-370衔接）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