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476. “隔代养育，消费谁说了算”——三代家庭育儿消费决策与代际观念冲突研究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研究对象：与父母同住/隔代带娃的三代家庭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核心问题/变量：育儿消费决策（谁定）、代际观念冲突（早教/零食/电子产品）、消费折中方式、家庭关系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H1：育儿消费决策（谁定）、代际观念冲突（早教/零食/电子产品）显著影响家庭关系（待验证）；H2：不同人群（年龄/收入/城市等级）在上述关系中存在调节作用（待验证）。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🔶隔代养育研究（学术调查需核验）；✅母婴8.58万亿（第八轮证据）；✅家庭决策理论应用（学术）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社区亲子群+幼儿园渠道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🔶隔代养育研究（学术调查需核验）；✅母婴8.58万亿（第八轮证据）；✅家庭决策理论应用（学术）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