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478. “爸爸带娃，父职参与”——新一代父亲育儿参与与父职消费研究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项目类型：社会调查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研究阶段：mid（中期：消费意愿及影响因素）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确定行业：18_母婴育儿与家庭（选择理由：贴合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研究对象：参加过亲子研学的 4—14 岁儿童家长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核心问题/变量：研学主题、价格（单次几百-几千）、教育获得感、机构选择（独立/学校）、频率与复报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研学主题、价格（单次几百-几千）（频率与复报）之间存在可检验的关系，且受群体差异（年龄/收入/地区/身份）调节（待验证）；H2：研学主题、价格（单次几百-几千）是影响频率与复报的关键因素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🔶研学市场规模（研学旅行协会数据需核验）；✅研学游2亿人次（已核验）；✅非遗研学/农事研学兴起（已核验）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研学机构/学校渠道；与37题（研学游）区分：聚焦亲子细分与评价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🔶研学市场规模（研学旅行协会数据需核验）；✅研学游2亿人次（已核验）；✅非遗研学/农事研学兴起（已核验）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