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479. “老爸的钓鱼课，老少的传承”——代际兴趣传承（钓鱼、书法、围棋）学习动机与传承意愿研究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研究对象：跟长辈学习兴趣技能（钓鱼/书法/棋牌/园艺）的年轻人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核心问题/变量：传承兴趣类型、学习动机（陪伴/文化/解压）、消费支出、代际互动质量、传承意愿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H1：传承兴趣类型、学习动机（陪伴/文化/解压）显著影响传承意愿（待验证）；H2：不同人群（年龄/收入/城市等级）在上述关系中存在调节作用（待验证）。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🔶钓鱼群体年轻化（"钓鱼佬"媒体议题需引原文）；✅钓鱼经济规模（第七轮已核验）；✅代际文化传承（社会背景）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钓鱼社群/社区兴趣组渠道；与180题（钓鱼经济）区分：聚焦代际传承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🔶钓鱼群体年轻化（"钓鱼佬"媒体议题需引原文）；✅钓鱼经济规模（第七轮已核验）；✅代际文化传承（社会背景）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