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664. “亲子餐厅，带娃新社交”——带娃家庭亲子餐厅消费需求与复访意愿调查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研究对象：带娃去亲子餐厅/儿童友好餐厅的家庭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核心问题/变量：亲子餐厅选择动机（解放双手/社交/出片）、人均消费、儿童餐健康、游乐与餐饮平衡、安全卫生、复访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H1：亲子餐厅选择动机（解放双手/社交/出片）、人均消费显著影响复访（待验证）；H2：不同人群（年龄/收入/城市等级）在上述关系中存在调节作用（待验证）。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🔶亲子餐厅业态报道（餐饮媒体须下载核验）；✅儿童友好城市建设政策（国家发改委）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亲子餐厅实地问卷+经营者访谈；获奖黑名单核对：近三年无亲子餐厅获奖题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🔶亲子餐厅业态报道（餐饮媒体须下载核验）；✅儿童友好城市建设政策（国家发改委）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