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683. “亲子游泳课，婴儿的水上乐园”——亲子游泳消费意愿与水质安全信任调查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研究对象：带0-6岁孩子上亲子游泳课的家庭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核心问题/变量：亲子游泳报课动机（健康/早教）、课程价格与课时、水质安全信任、师资与效果、续课留存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亲子游泳报课动机（健康/早教）、课程价格与课时（续课留存）之间存在可检验的关系，且受群体差异（年龄/收入/地区/身份）调节（待验证）；H2：亲子游泳报课动机（健康/早教）、课程价格与课时是影响续课留存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🔶亲子游泳市场数据（行业报告须下载核验）；✅婴幼儿照护政策（卫健委）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亲子游泳机构渠道问卷+教练访谈；获奖黑名单核对：近三年无亲子游泳获奖题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🔶亲子游泳市场数据（行业报告须下载核验）；✅婴幼儿照护政策（卫健委）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