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810. “蒙氏早教，理念消费”——家长理念早教选择动机与续费意愿研究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研究对象：为孩子报理念型早教（蒙氏/瑞吉欧/自然教育）的家长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核心问题/变量：理念早教选择动机（尊重孩子/理念认同）、学费（万元级）、理念落地感知（教具/混龄）、与普通早教对比、效果焦虑、续费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理念早教选择动机（尊重孩子/理念认同）、学费（万元级）（续费）之间存在可检验的关系，且受群体差异（年龄/收入/地区/身份）调节（待验证）；H2：理念早教选择动机（尊重孩子/理念认同）、学费（万元级）是影响续费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🔶早教行业监管与定价政策（教育部、市场监管总局）；🔶早教市场数据（行业报告须下载核验）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早教机构渠道+家长问卷；获奖黑名单核对：近三年无蒙氏早教获奖题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🔶早教行业监管与定价政策（教育部、市场监管总局）；🔶早教市场数据（行业报告须下载核验）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