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083. “托育无忧，普惠到家”——0—3岁婴幼儿托育服务需求与政策满意度研究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研究对象：0—3岁婴幼儿家长（有托育需求或已入托）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核心问题/变量：托育需求、选择因素、价格承受力、政策感知、满意度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H1：托育需求、选择因素（满意度）之间存在可检验的关系，且受群体差异（年龄/收入/地区/身份）调节（待验证）；H2：托育需求、选择因素是影响满意度的关键因素（待验证）。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截至2025年底全国托育机构12.6万家、托位数666万个、千人口托位数4.73个（新华网）；✅国家卫健委等七部门《关于加快推进普惠托育服务体系建设的意见》（国卫人口发〔2025〕6号）；🔶2025年托育市场规模1621.3亿元（+6.8%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妇幼保健机构/托育机构/母婴社群渠道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截至2025年底全国托育机构12.6万家、托位数666万个、千人口托位数4.73个（新华网）；✅国家卫健委等七部门《关于加快推进普惠托育服务体系建设的意见》（国卫人口发〔2025〕6号）；🔶2025年托育市场规模1621.3亿元（+6.8%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